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1" w:rsidRDefault="008F1811">
      <w:pPr>
        <w:pStyle w:val="Textoindependiente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741934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E1" w:rsidRDefault="00F050E1">
      <w:pPr>
        <w:pStyle w:val="Textoindependiente"/>
        <w:spacing w:before="9"/>
        <w:rPr>
          <w:rFonts w:ascii="Times New Roman"/>
          <w:sz w:val="13"/>
        </w:rPr>
      </w:pPr>
    </w:p>
    <w:p w:rsidR="000927D1" w:rsidRDefault="000927D1">
      <w:pPr>
        <w:pStyle w:val="Ttulo"/>
        <w:rPr>
          <w:sz w:val="22"/>
          <w:szCs w:val="22"/>
        </w:rPr>
      </w:pPr>
    </w:p>
    <w:p w:rsidR="00F050E1" w:rsidRPr="00B56496" w:rsidRDefault="00BB022B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ACTA </w:t>
      </w:r>
      <w:r w:rsidR="008421C7">
        <w:rPr>
          <w:sz w:val="22"/>
          <w:szCs w:val="22"/>
        </w:rPr>
        <w:t>REUNION</w:t>
      </w:r>
      <w:r w:rsidR="008F1811" w:rsidRPr="00B56496">
        <w:rPr>
          <w:sz w:val="22"/>
          <w:szCs w:val="22"/>
        </w:rPr>
        <w:t xml:space="preserve"> O</w:t>
      </w:r>
      <w:r w:rsidR="008421C7">
        <w:rPr>
          <w:sz w:val="22"/>
          <w:szCs w:val="22"/>
        </w:rPr>
        <w:t xml:space="preserve">RDINARIA CONSEJO DE LA SOCIEDAD </w:t>
      </w:r>
      <w:r w:rsidR="008F1811" w:rsidRPr="00B56496">
        <w:rPr>
          <w:sz w:val="22"/>
          <w:szCs w:val="22"/>
        </w:rPr>
        <w:t>CIVIL</w:t>
      </w:r>
      <w:r w:rsidR="008421C7">
        <w:rPr>
          <w:sz w:val="22"/>
          <w:szCs w:val="22"/>
        </w:rPr>
        <w:t xml:space="preserve"> </w:t>
      </w:r>
      <w:r w:rsidR="008F1811" w:rsidRPr="00B56496">
        <w:rPr>
          <w:spacing w:val="-64"/>
          <w:sz w:val="22"/>
          <w:szCs w:val="22"/>
        </w:rPr>
        <w:t xml:space="preserve"> </w:t>
      </w:r>
      <w:r w:rsidR="008421C7">
        <w:rPr>
          <w:spacing w:val="-64"/>
          <w:sz w:val="22"/>
          <w:szCs w:val="22"/>
        </w:rPr>
        <w:t xml:space="preserve">    </w:t>
      </w:r>
      <w:r w:rsidR="008F1811" w:rsidRPr="00B56496">
        <w:rPr>
          <w:sz w:val="22"/>
          <w:szCs w:val="22"/>
        </w:rPr>
        <w:t>MINVU-SERVIU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REGION DE COQUIMBO</w:t>
      </w: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29433E">
      <w:pPr>
        <w:pStyle w:val="Textoindependiente"/>
        <w:spacing w:line="360" w:lineRule="auto"/>
        <w:ind w:left="222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Serena, </w:t>
      </w:r>
      <w:r w:rsidR="00BB022B">
        <w:rPr>
          <w:sz w:val="22"/>
          <w:szCs w:val="22"/>
        </w:rPr>
        <w:t>siendo las 16:0</w:t>
      </w:r>
      <w:r w:rsidR="008421C7">
        <w:rPr>
          <w:sz w:val="22"/>
          <w:szCs w:val="22"/>
        </w:rPr>
        <w:t>0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>p</w:t>
      </w:r>
      <w:r w:rsidR="003B48B9">
        <w:rPr>
          <w:sz w:val="22"/>
          <w:szCs w:val="22"/>
        </w:rPr>
        <w:t>m,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 xml:space="preserve">con fecha </w:t>
      </w:r>
      <w:r w:rsidR="002A5D5C">
        <w:rPr>
          <w:sz w:val="22"/>
          <w:szCs w:val="22"/>
        </w:rPr>
        <w:t xml:space="preserve">06 de </w:t>
      </w:r>
      <w:r w:rsidR="000708AA">
        <w:rPr>
          <w:sz w:val="22"/>
          <w:szCs w:val="22"/>
        </w:rPr>
        <w:t>septiembre</w:t>
      </w:r>
      <w:r w:rsidR="00C71D45">
        <w:rPr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de</w:t>
      </w:r>
      <w:r w:rsidR="00334199" w:rsidRPr="00B56496">
        <w:rPr>
          <w:sz w:val="22"/>
          <w:szCs w:val="22"/>
        </w:rPr>
        <w:t>l año</w:t>
      </w:r>
      <w:r w:rsidR="002A5D5C">
        <w:rPr>
          <w:sz w:val="22"/>
          <w:szCs w:val="22"/>
        </w:rPr>
        <w:t xml:space="preserve"> 2024</w:t>
      </w:r>
      <w:r w:rsidR="00BB022B">
        <w:rPr>
          <w:sz w:val="22"/>
          <w:szCs w:val="22"/>
        </w:rPr>
        <w:t xml:space="preserve">, se celebra la </w:t>
      </w:r>
      <w:r w:rsidR="008F1811" w:rsidRPr="00B56496">
        <w:rPr>
          <w:sz w:val="22"/>
          <w:szCs w:val="22"/>
        </w:rPr>
        <w:t>sesión ordinaria del</w:t>
      </w:r>
      <w:r w:rsidR="008F1811" w:rsidRPr="00B56496">
        <w:rPr>
          <w:spacing w:val="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Consejo de la Sociedad Civil de MI</w:t>
      </w:r>
      <w:r w:rsidR="002A5D5C">
        <w:rPr>
          <w:sz w:val="22"/>
          <w:szCs w:val="22"/>
        </w:rPr>
        <w:t>NVU-SERVIU 2024</w:t>
      </w:r>
      <w:r w:rsidR="008421C7">
        <w:rPr>
          <w:sz w:val="22"/>
          <w:szCs w:val="22"/>
        </w:rPr>
        <w:t xml:space="preserve"> en el Salón </w:t>
      </w:r>
      <w:r w:rsidR="006B559A">
        <w:rPr>
          <w:sz w:val="22"/>
          <w:szCs w:val="22"/>
        </w:rPr>
        <w:t xml:space="preserve">Jorge Brañes, </w:t>
      </w:r>
      <w:r w:rsidR="008421C7">
        <w:rPr>
          <w:sz w:val="22"/>
          <w:szCs w:val="22"/>
        </w:rPr>
        <w:t xml:space="preserve">dependencias </w:t>
      </w:r>
      <w:r w:rsidR="006B559A">
        <w:rPr>
          <w:sz w:val="22"/>
          <w:szCs w:val="22"/>
        </w:rPr>
        <w:t xml:space="preserve">Serviu Coquimbo; </w:t>
      </w:r>
      <w:r w:rsidR="006B559A" w:rsidRPr="00B56496">
        <w:rPr>
          <w:spacing w:val="1"/>
          <w:sz w:val="22"/>
          <w:szCs w:val="22"/>
        </w:rPr>
        <w:t>con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la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 xml:space="preserve">asistencia </w:t>
      </w:r>
      <w:r w:rsidR="008421C7">
        <w:rPr>
          <w:sz w:val="22"/>
          <w:szCs w:val="22"/>
        </w:rPr>
        <w:t xml:space="preserve">de </w:t>
      </w:r>
      <w:r w:rsidR="00C71D45">
        <w:rPr>
          <w:sz w:val="22"/>
          <w:szCs w:val="22"/>
        </w:rPr>
        <w:t>las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siguientes</w:t>
      </w:r>
      <w:r w:rsidR="00C71D45">
        <w:rPr>
          <w:sz w:val="22"/>
          <w:szCs w:val="22"/>
        </w:rPr>
        <w:t xml:space="preserve"> personas:</w:t>
      </w:r>
      <w:r w:rsidR="008F1811" w:rsidRPr="00B56496">
        <w:rPr>
          <w:spacing w:val="1"/>
          <w:sz w:val="22"/>
          <w:szCs w:val="22"/>
        </w:rPr>
        <w:t xml:space="preserve"> </w:t>
      </w:r>
    </w:p>
    <w:p w:rsidR="00F050E1" w:rsidRPr="00B56496" w:rsidRDefault="00F050E1">
      <w:pPr>
        <w:pStyle w:val="Textoindependiente"/>
        <w:rPr>
          <w:sz w:val="22"/>
          <w:szCs w:val="22"/>
        </w:rPr>
      </w:pPr>
    </w:p>
    <w:p w:rsidR="00F050E1" w:rsidRPr="00B56496" w:rsidRDefault="00F050E1">
      <w:pPr>
        <w:pStyle w:val="Textoindependiente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140"/>
        <w:gridCol w:w="5343"/>
      </w:tblGrid>
      <w:tr w:rsidR="00F050E1" w:rsidRPr="00B56496" w:rsidTr="00334199">
        <w:trPr>
          <w:trHeight w:val="575"/>
        </w:trPr>
        <w:tc>
          <w:tcPr>
            <w:tcW w:w="3714" w:type="dxa"/>
            <w:gridSpan w:val="2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1250" w:right="1244"/>
              <w:jc w:val="center"/>
              <w:rPr>
                <w:rFonts w:ascii="Arial"/>
                <w:b/>
              </w:rPr>
            </w:pPr>
            <w:r w:rsidRPr="00B56496">
              <w:rPr>
                <w:rFonts w:ascii="Arial"/>
                <w:b/>
              </w:rPr>
              <w:t>Nombre</w:t>
            </w:r>
          </w:p>
        </w:tc>
        <w:tc>
          <w:tcPr>
            <w:tcW w:w="5343" w:type="dxa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90" w:right="90"/>
              <w:jc w:val="center"/>
              <w:rPr>
                <w:rFonts w:ascii="Arial" w:hAnsi="Arial"/>
                <w:b/>
              </w:rPr>
            </w:pPr>
            <w:r w:rsidRPr="00B56496">
              <w:rPr>
                <w:rFonts w:ascii="Arial" w:hAnsi="Arial"/>
                <w:b/>
              </w:rPr>
              <w:t>Organización</w:t>
            </w:r>
          </w:p>
        </w:tc>
      </w:tr>
      <w:tr w:rsidR="00F050E1" w:rsidRPr="00B56496" w:rsidTr="00334199">
        <w:trPr>
          <w:trHeight w:val="806"/>
        </w:trPr>
        <w:tc>
          <w:tcPr>
            <w:tcW w:w="574" w:type="dxa"/>
          </w:tcPr>
          <w:p w:rsidR="00F050E1" w:rsidRPr="00B56496" w:rsidRDefault="00F050E1" w:rsidP="00334199">
            <w:pPr>
              <w:pStyle w:val="TableParagraph"/>
              <w:spacing w:before="2"/>
              <w:jc w:val="center"/>
            </w:pPr>
          </w:p>
          <w:p w:rsidR="00F050E1" w:rsidRPr="00B56496" w:rsidRDefault="003F79F8" w:rsidP="00334199">
            <w:pPr>
              <w:pStyle w:val="TableParagraph"/>
              <w:ind w:left="107"/>
              <w:jc w:val="center"/>
            </w:pPr>
            <w:r>
              <w:t>1</w:t>
            </w:r>
            <w:r w:rsidR="008F1811" w:rsidRPr="00B56496">
              <w:t>.</w:t>
            </w:r>
          </w:p>
        </w:tc>
        <w:tc>
          <w:tcPr>
            <w:tcW w:w="3140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Evelyn Acevedo </w:t>
            </w: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2A5D5C" w:rsidRPr="003F79F8" w:rsidRDefault="002A5D5C" w:rsidP="00334199">
            <w:pPr>
              <w:pStyle w:val="TableParagraph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Comité de vivienda Villa Vista al Sol</w:t>
            </w:r>
          </w:p>
        </w:tc>
      </w:tr>
      <w:tr w:rsidR="00F050E1" w:rsidRPr="00B56496" w:rsidTr="00334199">
        <w:trPr>
          <w:trHeight w:val="806"/>
        </w:trPr>
        <w:tc>
          <w:tcPr>
            <w:tcW w:w="574" w:type="dxa"/>
          </w:tcPr>
          <w:p w:rsidR="00F050E1" w:rsidRPr="008421C7" w:rsidRDefault="00F050E1" w:rsidP="00334199">
            <w:pPr>
              <w:pStyle w:val="TableParagraph"/>
              <w:spacing w:before="11"/>
              <w:jc w:val="center"/>
              <w:rPr>
                <w:highlight w:val="yellow"/>
              </w:rPr>
            </w:pPr>
          </w:p>
          <w:p w:rsidR="00F050E1" w:rsidRPr="008421C7" w:rsidRDefault="003F79F8" w:rsidP="00334199">
            <w:pPr>
              <w:pStyle w:val="TableParagraph"/>
              <w:ind w:left="107"/>
              <w:jc w:val="center"/>
              <w:rPr>
                <w:highlight w:val="yellow"/>
              </w:rPr>
            </w:pPr>
            <w:r w:rsidRPr="003F79F8">
              <w:t>2</w:t>
            </w:r>
            <w:r w:rsidR="008F1811" w:rsidRPr="003F79F8">
              <w:t>.</w:t>
            </w:r>
          </w:p>
        </w:tc>
        <w:tc>
          <w:tcPr>
            <w:tcW w:w="3140" w:type="dxa"/>
          </w:tcPr>
          <w:p w:rsidR="00F050E1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William Azola</w:t>
            </w:r>
          </w:p>
          <w:p w:rsidR="00F050E1" w:rsidRPr="003F79F8" w:rsidRDefault="00F050E1" w:rsidP="00334199">
            <w:pPr>
              <w:pStyle w:val="TableParagraph"/>
              <w:ind w:left="88" w:right="80"/>
              <w:jc w:val="center"/>
              <w:rPr>
                <w:rFonts w:ascii="Arial"/>
                <w:b/>
              </w:rPr>
            </w:pP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Corporación de reciclaje 4 Erres</w:t>
            </w:r>
          </w:p>
        </w:tc>
      </w:tr>
      <w:tr w:rsidR="00334199" w:rsidRPr="00B56496" w:rsidTr="00334199">
        <w:trPr>
          <w:trHeight w:val="806"/>
        </w:trPr>
        <w:tc>
          <w:tcPr>
            <w:tcW w:w="574" w:type="dxa"/>
          </w:tcPr>
          <w:p w:rsidR="00334199" w:rsidRPr="00B56496" w:rsidRDefault="00334199" w:rsidP="00334199">
            <w:pPr>
              <w:pStyle w:val="TableParagraph"/>
              <w:spacing w:before="11"/>
              <w:jc w:val="center"/>
            </w:pPr>
          </w:p>
          <w:p w:rsidR="00334199" w:rsidRPr="00B56496" w:rsidRDefault="003F79F8" w:rsidP="003F79F8">
            <w:pPr>
              <w:pStyle w:val="TableParagraph"/>
              <w:spacing w:before="11"/>
              <w:jc w:val="center"/>
            </w:pPr>
            <w:r>
              <w:t>3</w:t>
            </w:r>
            <w:r w:rsidR="00334199" w:rsidRPr="00B56496">
              <w:t>.</w:t>
            </w:r>
          </w:p>
        </w:tc>
        <w:tc>
          <w:tcPr>
            <w:tcW w:w="3140" w:type="dxa"/>
          </w:tcPr>
          <w:p w:rsidR="00334199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rFonts w:ascii="Arial"/>
                <w:b/>
              </w:rPr>
              <w:t>Olga Villagra Nu</w:t>
            </w:r>
            <w:r>
              <w:rPr>
                <w:rFonts w:ascii="Arial"/>
                <w:b/>
              </w:rPr>
              <w:t>ñ</w:t>
            </w:r>
            <w:r>
              <w:rPr>
                <w:rFonts w:ascii="Arial"/>
                <w:b/>
              </w:rPr>
              <w:t>ez</w:t>
            </w:r>
          </w:p>
        </w:tc>
        <w:tc>
          <w:tcPr>
            <w:tcW w:w="5343" w:type="dxa"/>
          </w:tcPr>
          <w:p w:rsidR="002A5D5C" w:rsidRDefault="002A5D5C" w:rsidP="002A5D5C">
            <w:pPr>
              <w:pStyle w:val="TableParagraph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Comité de Vivienda Nueva Vida, Coquimbo</w:t>
            </w:r>
          </w:p>
          <w:p w:rsidR="00334199" w:rsidRPr="003F79F8" w:rsidRDefault="002A5D5C" w:rsidP="002A5D5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(On Line)</w:t>
            </w:r>
          </w:p>
        </w:tc>
      </w:tr>
      <w:tr w:rsidR="00334199" w:rsidRPr="00B56496" w:rsidTr="00334199">
        <w:trPr>
          <w:trHeight w:val="806"/>
        </w:trPr>
        <w:tc>
          <w:tcPr>
            <w:tcW w:w="574" w:type="dxa"/>
          </w:tcPr>
          <w:p w:rsidR="00334199" w:rsidRPr="00B56496" w:rsidRDefault="003F79F8" w:rsidP="00334199">
            <w:pPr>
              <w:pStyle w:val="TableParagraph"/>
              <w:spacing w:before="11"/>
              <w:jc w:val="center"/>
            </w:pPr>
            <w:r>
              <w:t>4</w:t>
            </w:r>
            <w:r w:rsidR="00334199" w:rsidRPr="00B56496">
              <w:t>.</w:t>
            </w:r>
          </w:p>
        </w:tc>
        <w:tc>
          <w:tcPr>
            <w:tcW w:w="3140" w:type="dxa"/>
          </w:tcPr>
          <w:p w:rsidR="00334199" w:rsidRPr="003F79F8" w:rsidRDefault="00C71D45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Andrea Pilar Nuñez Segovia</w:t>
            </w:r>
          </w:p>
        </w:tc>
        <w:tc>
          <w:tcPr>
            <w:tcW w:w="5343" w:type="dxa"/>
          </w:tcPr>
          <w:p w:rsidR="00334199" w:rsidRDefault="00C71D45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Newen Kallfu</w:t>
            </w:r>
            <w:r w:rsidR="00334199" w:rsidRPr="003F79F8">
              <w:rPr>
                <w:b/>
              </w:rPr>
              <w:t>, Coquimbo</w:t>
            </w:r>
          </w:p>
          <w:p w:rsidR="002A5D5C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(On Line)</w:t>
            </w:r>
          </w:p>
        </w:tc>
      </w:tr>
      <w:tr w:rsidR="0029433E" w:rsidRPr="00B56496" w:rsidTr="00334199">
        <w:trPr>
          <w:trHeight w:val="806"/>
        </w:trPr>
        <w:tc>
          <w:tcPr>
            <w:tcW w:w="574" w:type="dxa"/>
          </w:tcPr>
          <w:p w:rsidR="0029433E" w:rsidRPr="00B56496" w:rsidRDefault="003F79F8" w:rsidP="00334199">
            <w:pPr>
              <w:pStyle w:val="TableParagraph"/>
              <w:spacing w:before="11"/>
              <w:jc w:val="center"/>
            </w:pPr>
            <w:r>
              <w:t>5</w:t>
            </w:r>
            <w:r w:rsidR="0029433E">
              <w:t>.</w:t>
            </w:r>
          </w:p>
        </w:tc>
        <w:tc>
          <w:tcPr>
            <w:tcW w:w="3140" w:type="dxa"/>
          </w:tcPr>
          <w:p w:rsidR="0029433E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Gabriel Cortés </w:t>
            </w:r>
          </w:p>
        </w:tc>
        <w:tc>
          <w:tcPr>
            <w:tcW w:w="5343" w:type="dxa"/>
          </w:tcPr>
          <w:p w:rsidR="0029433E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Pro Adelanto El Copao</w:t>
            </w:r>
          </w:p>
        </w:tc>
      </w:tr>
      <w:tr w:rsidR="003F79F8" w:rsidRPr="00B56496" w:rsidTr="00334199">
        <w:trPr>
          <w:trHeight w:val="806"/>
        </w:trPr>
        <w:tc>
          <w:tcPr>
            <w:tcW w:w="574" w:type="dxa"/>
          </w:tcPr>
          <w:p w:rsidR="003F79F8" w:rsidRDefault="003F79F8" w:rsidP="00334199">
            <w:pPr>
              <w:pStyle w:val="TableParagraph"/>
              <w:spacing w:before="11"/>
              <w:jc w:val="center"/>
            </w:pPr>
            <w:r>
              <w:t>6.</w:t>
            </w:r>
          </w:p>
        </w:tc>
        <w:tc>
          <w:tcPr>
            <w:tcW w:w="3140" w:type="dxa"/>
          </w:tcPr>
          <w:p w:rsidR="003F79F8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Dider Oróstegui </w:t>
            </w:r>
          </w:p>
        </w:tc>
        <w:tc>
          <w:tcPr>
            <w:tcW w:w="5343" w:type="dxa"/>
          </w:tcPr>
          <w:p w:rsidR="003F79F8" w:rsidRPr="003F79F8" w:rsidRDefault="002A5D5C" w:rsidP="003F79F8">
            <w:pPr>
              <w:pStyle w:val="TableParagraph"/>
              <w:rPr>
                <w:b/>
              </w:rPr>
            </w:pPr>
            <w:r>
              <w:rPr>
                <w:b/>
              </w:rPr>
              <w:t>Junta de Vecinos Quebrada de Talca</w:t>
            </w:r>
          </w:p>
        </w:tc>
      </w:tr>
      <w:tr w:rsidR="00BB022B" w:rsidRPr="00B56496" w:rsidTr="00334199">
        <w:trPr>
          <w:trHeight w:val="806"/>
        </w:trPr>
        <w:tc>
          <w:tcPr>
            <w:tcW w:w="574" w:type="dxa"/>
          </w:tcPr>
          <w:p w:rsidR="00BB022B" w:rsidRDefault="00BB022B" w:rsidP="00334199">
            <w:pPr>
              <w:pStyle w:val="TableParagraph"/>
              <w:spacing w:before="11"/>
              <w:jc w:val="center"/>
            </w:pPr>
            <w:r>
              <w:t>7.</w:t>
            </w:r>
          </w:p>
        </w:tc>
        <w:tc>
          <w:tcPr>
            <w:tcW w:w="3140" w:type="dxa"/>
          </w:tcPr>
          <w:p w:rsidR="00BB022B" w:rsidRPr="003F79F8" w:rsidRDefault="00BB022B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Alicia Cortés Valencia</w:t>
            </w:r>
          </w:p>
        </w:tc>
        <w:tc>
          <w:tcPr>
            <w:tcW w:w="5343" w:type="dxa"/>
          </w:tcPr>
          <w:p w:rsidR="00BB022B" w:rsidRPr="003F79F8" w:rsidRDefault="00BB022B" w:rsidP="003F79F8">
            <w:pPr>
              <w:pStyle w:val="TableParagraph"/>
              <w:rPr>
                <w:b/>
              </w:rPr>
            </w:pPr>
            <w:r>
              <w:rPr>
                <w:b/>
              </w:rPr>
              <w:t>JJVV Villa El Romero, La Serena</w:t>
            </w:r>
          </w:p>
        </w:tc>
      </w:tr>
      <w:tr w:rsidR="00BB022B" w:rsidRPr="00B56496" w:rsidTr="00334199">
        <w:trPr>
          <w:trHeight w:val="806"/>
        </w:trPr>
        <w:tc>
          <w:tcPr>
            <w:tcW w:w="574" w:type="dxa"/>
          </w:tcPr>
          <w:p w:rsidR="00BB022B" w:rsidRDefault="00BB022B" w:rsidP="00334199">
            <w:pPr>
              <w:pStyle w:val="TableParagraph"/>
              <w:spacing w:before="11"/>
              <w:jc w:val="center"/>
            </w:pPr>
            <w:r>
              <w:t>8.</w:t>
            </w:r>
          </w:p>
        </w:tc>
        <w:tc>
          <w:tcPr>
            <w:tcW w:w="3140" w:type="dxa"/>
          </w:tcPr>
          <w:p w:rsidR="00BB022B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Daniela González</w:t>
            </w:r>
          </w:p>
        </w:tc>
        <w:tc>
          <w:tcPr>
            <w:tcW w:w="5343" w:type="dxa"/>
          </w:tcPr>
          <w:p w:rsidR="00BB022B" w:rsidRPr="003F79F8" w:rsidRDefault="002A5D5C" w:rsidP="003F79F8">
            <w:pPr>
              <w:pStyle w:val="TableParagraph"/>
              <w:rPr>
                <w:b/>
              </w:rPr>
            </w:pPr>
            <w:r>
              <w:rPr>
                <w:b/>
              </w:rPr>
              <w:t>Comité de Vivienda Raíces de La Florida</w:t>
            </w:r>
          </w:p>
        </w:tc>
      </w:tr>
      <w:tr w:rsidR="00BB022B" w:rsidRPr="00B56496" w:rsidTr="00334199">
        <w:trPr>
          <w:trHeight w:val="806"/>
        </w:trPr>
        <w:tc>
          <w:tcPr>
            <w:tcW w:w="574" w:type="dxa"/>
          </w:tcPr>
          <w:p w:rsidR="00BB022B" w:rsidRDefault="00BB022B" w:rsidP="00334199">
            <w:pPr>
              <w:pStyle w:val="TableParagraph"/>
              <w:spacing w:before="11"/>
              <w:jc w:val="center"/>
            </w:pPr>
            <w:r>
              <w:t xml:space="preserve">9. </w:t>
            </w:r>
          </w:p>
        </w:tc>
        <w:tc>
          <w:tcPr>
            <w:tcW w:w="3140" w:type="dxa"/>
          </w:tcPr>
          <w:p w:rsidR="00BB022B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Néstor Sierra</w:t>
            </w:r>
          </w:p>
        </w:tc>
        <w:tc>
          <w:tcPr>
            <w:tcW w:w="5343" w:type="dxa"/>
          </w:tcPr>
          <w:p w:rsidR="00BB022B" w:rsidRPr="003F79F8" w:rsidRDefault="00BB022B" w:rsidP="002A5D5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2A5D5C">
              <w:rPr>
                <w:b/>
              </w:rPr>
              <w:t>Agrupación de Trabajadores con Discapacidad</w:t>
            </w:r>
          </w:p>
        </w:tc>
      </w:tr>
      <w:tr w:rsidR="00631F11" w:rsidRPr="00B56496" w:rsidTr="00334199">
        <w:trPr>
          <w:trHeight w:val="806"/>
        </w:trPr>
        <w:tc>
          <w:tcPr>
            <w:tcW w:w="574" w:type="dxa"/>
          </w:tcPr>
          <w:p w:rsidR="00631F11" w:rsidRPr="00B56496" w:rsidRDefault="00BB022B" w:rsidP="00631F11">
            <w:pPr>
              <w:pStyle w:val="TableParagraph"/>
              <w:spacing w:before="11"/>
              <w:jc w:val="center"/>
            </w:pPr>
            <w:r>
              <w:lastRenderedPageBreak/>
              <w:t>10</w:t>
            </w:r>
            <w:r w:rsidR="00631F11">
              <w:t>.</w:t>
            </w:r>
          </w:p>
        </w:tc>
        <w:tc>
          <w:tcPr>
            <w:tcW w:w="3140" w:type="dxa"/>
          </w:tcPr>
          <w:p w:rsidR="00631F11" w:rsidRPr="00B56496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Gloria Mendez</w:t>
            </w:r>
          </w:p>
        </w:tc>
        <w:tc>
          <w:tcPr>
            <w:tcW w:w="5343" w:type="dxa"/>
          </w:tcPr>
          <w:p w:rsidR="00631F11" w:rsidRPr="00B56496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Adelanto Villa Los Pimientos II</w:t>
            </w:r>
          </w:p>
        </w:tc>
      </w:tr>
      <w:tr w:rsidR="00C71D45" w:rsidRPr="00B56496" w:rsidTr="00334199">
        <w:trPr>
          <w:trHeight w:val="806"/>
        </w:trPr>
        <w:tc>
          <w:tcPr>
            <w:tcW w:w="574" w:type="dxa"/>
          </w:tcPr>
          <w:p w:rsidR="00C71D45" w:rsidRDefault="00BB022B" w:rsidP="00631F11">
            <w:pPr>
              <w:pStyle w:val="TableParagraph"/>
              <w:spacing w:before="11"/>
              <w:jc w:val="center"/>
            </w:pPr>
            <w:r>
              <w:t>11</w:t>
            </w:r>
            <w:r w:rsidR="00C71D45">
              <w:t>.</w:t>
            </w:r>
          </w:p>
        </w:tc>
        <w:tc>
          <w:tcPr>
            <w:tcW w:w="3140" w:type="dxa"/>
          </w:tcPr>
          <w:p w:rsidR="00C71D45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Yenny Rojas González</w:t>
            </w:r>
          </w:p>
        </w:tc>
        <w:tc>
          <w:tcPr>
            <w:tcW w:w="5343" w:type="dxa"/>
          </w:tcPr>
          <w:p w:rsidR="00C71D45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Encargada Participación Ciudadana Serviu Coquimbo</w:t>
            </w:r>
          </w:p>
        </w:tc>
      </w:tr>
    </w:tbl>
    <w:p w:rsidR="00F050E1" w:rsidRPr="00B56496" w:rsidRDefault="00F050E1">
      <w:pPr>
        <w:pStyle w:val="Textoindependiente"/>
        <w:spacing w:before="11"/>
        <w:rPr>
          <w:sz w:val="22"/>
          <w:szCs w:val="22"/>
        </w:rPr>
      </w:pPr>
    </w:p>
    <w:p w:rsidR="003F79F8" w:rsidRDefault="003F79F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EA6B05" w:rsidRDefault="00B546D0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da inicio a la reunión, </w:t>
      </w:r>
      <w:r w:rsidR="00BB022B">
        <w:rPr>
          <w:sz w:val="22"/>
          <w:szCs w:val="22"/>
        </w:rPr>
        <w:t xml:space="preserve">la Secretaria Ejecutiva del COSOC y Encargada de Participación Ciudadana de Serviu, </w:t>
      </w:r>
    </w:p>
    <w:p w:rsidR="00461DE8" w:rsidRDefault="00461DE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 revisa el mail de citación con los puntos a tratar: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Revisión de acta, sesión anterior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Fotografía Oficial (quienes faltan)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Temas a Definir para programar 1era jornada de capacitación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Puntos a modificar del reglamento 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Prioridades a plasmar en el plan anual de trabajo 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Invitaciones a actividades próximas</w:t>
      </w:r>
    </w:p>
    <w:p w:rsidR="00461DE8" w:rsidRDefault="00461DE8" w:rsidP="00461DE8">
      <w:pPr>
        <w:pStyle w:val="Textoindependiente"/>
        <w:numPr>
          <w:ilvl w:val="0"/>
          <w:numId w:val="9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Puntos varios</w:t>
      </w:r>
    </w:p>
    <w:p w:rsidR="00461DE8" w:rsidRDefault="00461DE8" w:rsidP="00461DE8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EA6B05" w:rsidRDefault="00EA6B05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EA6B05" w:rsidRDefault="00EA6B05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EA6B05" w:rsidRDefault="00EA6B05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BB022B" w:rsidRPr="00461DE8" w:rsidRDefault="00BB022B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 xml:space="preserve">solicita </w:t>
      </w:r>
      <w:r w:rsidR="00EA6B05" w:rsidRPr="00461DE8">
        <w:rPr>
          <w:sz w:val="22"/>
          <w:szCs w:val="22"/>
          <w:highlight w:val="yellow"/>
        </w:rPr>
        <w:t>cumplir con el acuerdo de elegir la directiva del Cosoc,, los integrantes solicitan que sean 3 las personas que conformen dicha directiva (Presidente, secretario y tesorero) y que sean elegidos a mano alzada, quedando de la siguiente manera</w:t>
      </w:r>
      <w:r w:rsidRPr="00461DE8">
        <w:rPr>
          <w:sz w:val="22"/>
          <w:szCs w:val="22"/>
          <w:highlight w:val="yellow"/>
        </w:rPr>
        <w:t>el espacio para realizar una presentación que grafica el trabajo realizado por el COSOC, tomando cada uno de los objetivos propuestos en su plan anual de trabajo. (Se adjunta ppt).</w:t>
      </w:r>
    </w:p>
    <w:p w:rsidR="00BB022B" w:rsidRPr="00461DE8" w:rsidRDefault="00BB022B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B022B" w:rsidRPr="00461DE8" w:rsidRDefault="00BB022B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>En la presentación se muestran fotografías que exponen como han llevado a cabo los lineamientos del Plan de trabajo, todas las actividades ministeriales de las que fueron parte, las reuniones con autoridades que fueron capaces de gestionar y los objetivos que quedan pendientes.</w:t>
      </w:r>
    </w:p>
    <w:p w:rsidR="00BB022B" w:rsidRPr="00461DE8" w:rsidRDefault="00BB022B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 xml:space="preserve"> </w:t>
      </w:r>
    </w:p>
    <w:p w:rsidR="00BA08A1" w:rsidRPr="00461DE8" w:rsidRDefault="00BA08A1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>La Secretaria Ejecutiva regala un calendario de pared 2024 con un collage que refleja el Trabajo realizado por el COSOC el segundo semestre 2023.</w:t>
      </w:r>
    </w:p>
    <w:p w:rsidR="00BA08A1" w:rsidRPr="00461DE8" w:rsidRDefault="00BA08A1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A08A1" w:rsidRPr="00461DE8" w:rsidRDefault="00BA08A1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 xml:space="preserve">Las autoridades dan discurso de agradecimiento por la labor del COSOC, reafirman el </w:t>
      </w:r>
      <w:r w:rsidRPr="00461DE8">
        <w:rPr>
          <w:sz w:val="22"/>
          <w:szCs w:val="22"/>
          <w:highlight w:val="yellow"/>
        </w:rPr>
        <w:lastRenderedPageBreak/>
        <w:t>compromiso de seguir trabajando de la mano y comentan sobre los desafíos que vienen en el Plan de Emergencia Habitacional, palabras a las que se suman los miembros del COSOC.</w:t>
      </w:r>
    </w:p>
    <w:p w:rsidR="00BA08A1" w:rsidRPr="00461DE8" w:rsidRDefault="00BA08A1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A08A1" w:rsidRPr="00461DE8" w:rsidRDefault="00BA08A1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>Se realiza la entrega del Informe del “Di</w:t>
      </w:r>
      <w:r w:rsidR="00B30350" w:rsidRPr="00461DE8">
        <w:rPr>
          <w:sz w:val="22"/>
          <w:szCs w:val="22"/>
          <w:highlight w:val="yellow"/>
        </w:rPr>
        <w:t>agnó</w:t>
      </w:r>
      <w:r w:rsidRPr="00461DE8">
        <w:rPr>
          <w:sz w:val="22"/>
          <w:szCs w:val="22"/>
          <w:highlight w:val="yellow"/>
        </w:rPr>
        <w:t>stico de la calidad de servi</w:t>
      </w:r>
      <w:r w:rsidR="00B30350" w:rsidRPr="00461DE8">
        <w:rPr>
          <w:sz w:val="22"/>
          <w:szCs w:val="22"/>
          <w:highlight w:val="yellow"/>
        </w:rPr>
        <w:t>cio y experiencia usuaria” Serviu Región de Coquimbo 2023.</w:t>
      </w:r>
    </w:p>
    <w:p w:rsidR="007715D9" w:rsidRPr="00461DE8" w:rsidRDefault="007715D9" w:rsidP="00081AC5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30350" w:rsidRPr="00461DE8" w:rsidRDefault="00B30350" w:rsidP="002D0F60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>Finalizamos la sesión con una actividad de camaradería y esparcimiento.</w:t>
      </w:r>
    </w:p>
    <w:p w:rsidR="00B9098B" w:rsidRPr="00461DE8" w:rsidRDefault="00B30350" w:rsidP="002D0F60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  <w:r w:rsidRPr="00461DE8">
        <w:rPr>
          <w:sz w:val="22"/>
          <w:szCs w:val="22"/>
          <w:highlight w:val="yellow"/>
        </w:rPr>
        <w:t>Siendo las 19:30 se da por finalizada la sesión.</w:t>
      </w:r>
    </w:p>
    <w:p w:rsidR="00B9098B" w:rsidRPr="00461DE8" w:rsidRDefault="00B9098B" w:rsidP="002D0F60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9098B" w:rsidRPr="00461DE8" w:rsidRDefault="00B9098B" w:rsidP="002D0F60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</w:pPr>
    </w:p>
    <w:p w:rsidR="00B9098B" w:rsidRPr="00461DE8" w:rsidRDefault="00B9098B" w:rsidP="002D0F60">
      <w:pPr>
        <w:pStyle w:val="Textoindependiente"/>
        <w:spacing w:line="360" w:lineRule="auto"/>
        <w:ind w:right="235"/>
        <w:jc w:val="both"/>
        <w:rPr>
          <w:sz w:val="22"/>
          <w:szCs w:val="22"/>
          <w:highlight w:val="yellow"/>
        </w:rPr>
        <w:sectPr w:rsidR="00B9098B" w:rsidRPr="00461DE8">
          <w:footerReference w:type="default" r:id="rId8"/>
          <w:type w:val="continuous"/>
          <w:pgSz w:w="12240" w:h="15840"/>
          <w:pgMar w:top="1280" w:right="1460" w:bottom="1240" w:left="1480" w:header="720" w:footer="1050" w:gutter="0"/>
          <w:pgNumType w:start="1"/>
          <w:cols w:space="720"/>
        </w:sectPr>
      </w:pPr>
    </w:p>
    <w:p w:rsidR="00F050E1" w:rsidRDefault="00F050E1" w:rsidP="006817FD">
      <w:pPr>
        <w:pStyle w:val="Textoindependiente"/>
        <w:spacing w:line="360" w:lineRule="auto"/>
        <w:ind w:right="236"/>
        <w:jc w:val="both"/>
      </w:pPr>
      <w:bookmarkStart w:id="0" w:name="_GoBack"/>
      <w:bookmarkEnd w:id="0"/>
    </w:p>
    <w:sectPr w:rsidR="00F050E1">
      <w:pgSz w:w="12240" w:h="15840"/>
      <w:pgMar w:top="1200" w:right="1460" w:bottom="1240" w:left="14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A7" w:rsidRDefault="00DB60A7">
      <w:r>
        <w:separator/>
      </w:r>
    </w:p>
  </w:endnote>
  <w:endnote w:type="continuationSeparator" w:id="0">
    <w:p w:rsidR="00DB60A7" w:rsidRDefault="00DB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E1" w:rsidRDefault="001A052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6569710</wp:posOffset>
              </wp:positionH>
              <wp:positionV relativeFrom="page">
                <wp:posOffset>9251950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E1" w:rsidRDefault="008F1811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DE8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pt;margin-top:728.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dA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S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" filled="f" stroked="f">
              <v:textbox inset="0,0,0,0">
                <w:txbxContent>
                  <w:p w:rsidR="00F050E1" w:rsidRDefault="008F1811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DE8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A7" w:rsidRDefault="00DB60A7">
      <w:r>
        <w:separator/>
      </w:r>
    </w:p>
  </w:footnote>
  <w:footnote w:type="continuationSeparator" w:id="0">
    <w:p w:rsidR="00DB60A7" w:rsidRDefault="00DB6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A4A"/>
    <w:multiLevelType w:val="hybridMultilevel"/>
    <w:tmpl w:val="537AEF48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EDE7D52"/>
    <w:multiLevelType w:val="hybridMultilevel"/>
    <w:tmpl w:val="0B007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9E3"/>
    <w:multiLevelType w:val="hybridMultilevel"/>
    <w:tmpl w:val="6C0204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2FE1"/>
    <w:multiLevelType w:val="hybridMultilevel"/>
    <w:tmpl w:val="F7840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0AED"/>
    <w:multiLevelType w:val="hybridMultilevel"/>
    <w:tmpl w:val="934EA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B7"/>
    <w:multiLevelType w:val="hybridMultilevel"/>
    <w:tmpl w:val="E3FCC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E468D"/>
    <w:multiLevelType w:val="hybridMultilevel"/>
    <w:tmpl w:val="9702C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1DFF"/>
    <w:multiLevelType w:val="hybridMultilevel"/>
    <w:tmpl w:val="F8883CD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79F6200"/>
    <w:multiLevelType w:val="hybridMultilevel"/>
    <w:tmpl w:val="D08C1E56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1"/>
    <w:rsid w:val="000708AA"/>
    <w:rsid w:val="00081AC5"/>
    <w:rsid w:val="000927D1"/>
    <w:rsid w:val="001142A8"/>
    <w:rsid w:val="001A0526"/>
    <w:rsid w:val="00253942"/>
    <w:rsid w:val="0029433E"/>
    <w:rsid w:val="002A5D5C"/>
    <w:rsid w:val="002B5796"/>
    <w:rsid w:val="002D0F60"/>
    <w:rsid w:val="00315064"/>
    <w:rsid w:val="00334199"/>
    <w:rsid w:val="003B48B9"/>
    <w:rsid w:val="003F79F8"/>
    <w:rsid w:val="0040480F"/>
    <w:rsid w:val="00434546"/>
    <w:rsid w:val="0043463A"/>
    <w:rsid w:val="00461DE8"/>
    <w:rsid w:val="00544DCF"/>
    <w:rsid w:val="00560B54"/>
    <w:rsid w:val="005F6080"/>
    <w:rsid w:val="00631F11"/>
    <w:rsid w:val="00645AED"/>
    <w:rsid w:val="006679AC"/>
    <w:rsid w:val="006817FD"/>
    <w:rsid w:val="00692634"/>
    <w:rsid w:val="006B559A"/>
    <w:rsid w:val="0070475C"/>
    <w:rsid w:val="007715D9"/>
    <w:rsid w:val="007E6CB6"/>
    <w:rsid w:val="00835C12"/>
    <w:rsid w:val="008421C7"/>
    <w:rsid w:val="008506A4"/>
    <w:rsid w:val="008C5CD4"/>
    <w:rsid w:val="008C7F3D"/>
    <w:rsid w:val="008F1811"/>
    <w:rsid w:val="00A04AE5"/>
    <w:rsid w:val="00A17863"/>
    <w:rsid w:val="00AF68D2"/>
    <w:rsid w:val="00B30350"/>
    <w:rsid w:val="00B35AF3"/>
    <w:rsid w:val="00B546D0"/>
    <w:rsid w:val="00B56496"/>
    <w:rsid w:val="00B9098B"/>
    <w:rsid w:val="00BA08A1"/>
    <w:rsid w:val="00BA2C2D"/>
    <w:rsid w:val="00BB022B"/>
    <w:rsid w:val="00BE4C84"/>
    <w:rsid w:val="00C310A6"/>
    <w:rsid w:val="00C71D45"/>
    <w:rsid w:val="00C95904"/>
    <w:rsid w:val="00DB60A7"/>
    <w:rsid w:val="00E5518A"/>
    <w:rsid w:val="00EA6B05"/>
    <w:rsid w:val="00EF6284"/>
    <w:rsid w:val="00F050E1"/>
    <w:rsid w:val="00F51B1D"/>
    <w:rsid w:val="00F53008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F4DF0"/>
  <w15:docId w15:val="{F5137DF7-9BF7-4E64-B77E-F3AA1C8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2353" w:right="804" w:hanging="156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C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12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54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942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Ministerio de Vivienda Y Urbanismo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creator>MINVU</dc:creator>
  <cp:lastModifiedBy>Yenny Rojas Gonzalez</cp:lastModifiedBy>
  <cp:revision>2</cp:revision>
  <cp:lastPrinted>2023-11-17T17:12:00Z</cp:lastPrinted>
  <dcterms:created xsi:type="dcterms:W3CDTF">2024-10-03T20:44:00Z</dcterms:created>
  <dcterms:modified xsi:type="dcterms:W3CDTF">2024-10-03T20:44:00Z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</Properties>
</file>